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356" w:rsidRPr="004B5E40" w:rsidRDefault="003A0356" w:rsidP="003A0356">
      <w:pPr>
        <w:pBdr>
          <w:bottom w:val="single" w:sz="6" w:space="2" w:color="B9D2E3"/>
        </w:pBdr>
        <w:shd w:val="clear" w:color="auto" w:fill="FFFFFF"/>
        <w:spacing w:after="0" w:line="336" w:lineRule="atLeast"/>
        <w:ind w:left="72" w:right="72"/>
        <w:jc w:val="center"/>
        <w:outlineLvl w:val="0"/>
        <w:rPr>
          <w:rFonts w:ascii="Verdana" w:eastAsia="Times New Roman" w:hAnsi="Verdana" w:cs="Times New Roman"/>
          <w:b/>
          <w:bCs/>
          <w:noProof/>
          <w:color w:val="B01519"/>
          <w:kern w:val="36"/>
          <w:sz w:val="36"/>
          <w:szCs w:val="36"/>
          <w:lang w:val="ro-RO"/>
        </w:rPr>
      </w:pPr>
      <w:r w:rsidRPr="004B5E40">
        <w:rPr>
          <w:rFonts w:ascii="Tahoma" w:eastAsia="Times New Roman" w:hAnsi="Tahoma" w:cs="Tahoma"/>
          <w:b/>
          <w:bCs/>
          <w:noProof/>
          <w:color w:val="B01519"/>
          <w:kern w:val="36"/>
          <w:sz w:val="20"/>
          <w:szCs w:val="20"/>
          <w:lang w:val="ro-RO"/>
        </w:rPr>
        <w:t>Procedura de soluţionare a plângerilor și a sesizărilor</w:t>
      </w:r>
    </w:p>
    <w:p w:rsidR="003A0356" w:rsidRPr="00EB2767" w:rsidRDefault="003A0356" w:rsidP="003A0356">
      <w:pPr>
        <w:shd w:val="clear" w:color="auto" w:fill="FFFFFF"/>
        <w:spacing w:after="0" w:line="240" w:lineRule="auto"/>
        <w:ind w:firstLine="216"/>
        <w:jc w:val="center"/>
        <w:rPr>
          <w:rFonts w:ascii="Verdana" w:eastAsia="Times New Roman" w:hAnsi="Verdana" w:cs="Times New Roman"/>
          <w:noProof/>
          <w:sz w:val="15"/>
          <w:szCs w:val="15"/>
          <w:lang w:val="ro-RO"/>
        </w:rPr>
      </w:pPr>
      <w:r w:rsidRPr="00EB2767">
        <w:rPr>
          <w:rFonts w:ascii="Verdana" w:eastAsia="Times New Roman" w:hAnsi="Verdana" w:cs="Times New Roman"/>
          <w:noProof/>
          <w:sz w:val="15"/>
          <w:szCs w:val="15"/>
          <w:lang w:val="ro-RO"/>
        </w:rPr>
        <w:t> </w:t>
      </w:r>
    </w:p>
    <w:p w:rsidR="004B5E40" w:rsidRPr="00EB2767" w:rsidRDefault="004B5E40" w:rsidP="004B5E40">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CAPITOLUL I: Dispoziţii generale</w:t>
      </w:r>
    </w:p>
    <w:p w:rsidR="004B5E40" w:rsidRPr="00EB2767" w:rsidRDefault="004B5E40" w:rsidP="004B5E40">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Art. 1</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(1)În exercitarea atribuţiilor sale legale, Autoritatea Naţională de Supraveghere a Prelucrării Datelor cu Caracter Personal, denumită în continuare ANSPDCP, primeşte, analizează şi soluţionează plângeri legate de prelucrarea datelor cu caracter personal care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denumit în continuare RGPD, sau a altor dispoziţii legale aplicabile în domeniul protecţiei dreptului la viaţă intimă, familială şi privată prin prelucrarea datelor personale, inclusiv în sectorul comunicaţiilor electronice şi al comerţului electronic.</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(2)Prezenta procedură se aplică numai în cadrul activităţii de soluţionare a plângerilor care intră în competenţa compartimentului/compartimentelor de specialitate cu atribuţii în acest sens, conform Regulamentului de organizare şi funcţionare a Autorităţii Naţionale de Supraveghere a Prelucrării Datelor cu Caracter Personal, aprobat prin Hotărârea Biroului permanent al Senatului nr. 16/2005, cu modificările şi completările ulterioare.</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(3)Alte petiţii şi cereri decât cele menţionate la alin. (2) se soluţionează de către compartimentele sau persoanele desemnate ca având atribuţii în acest sens, potrivit dispoziţiilor legale aplicabile. Orice alt tip de corespondenţă trimisă către ANSPDCP, care nu îndeplineşte condiţiile unei petiţii în sensul Ordonanţei Guvernului nr. 27/2002 privind reglementarea activităţii de soluţionare a petiţiilor, aprobată cu modificări şi completări prin Legea nr. 233/2002, cu modificările ulterioare, se clasează, fără a se transmite un răspuns.</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Art. 2</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Plângerile pot fi adresate de orice persoană vizată identificată conform prevederilor din prezenta procedură, care consideră că prelucrarea datelor sale cu caracter personal încalcă prevederile legale în vigoare, în special în cazul în care reşedinţa sa obişnuită, locul său de muncă sau presupusa încălcare se află sau, după caz, are loc pe teritoriul României.</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CAPITOLUL II: Condiţii procedurale privind adresarea unei plângeri admisibile</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Art. 3</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(1)Plângerile adresate ANSPDCP trebuie formulate în scris, în limba română sau engleză, cu respectarea condiţiilor prevăzute de RGPD, de alte dispoziţii legale aplicabile, precum şi de prezenta procedură.</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(2)Plângerile pot fi depuse la registratura generală de la sediul ANSPDCP sau pot fi transmise prin poştă, inclusiv cea electronică, ori prin utilizarea formularului electronic, disponibil pe pagina de internet a ANSPDCP. Plângerile primite se înregistrează în registrul general al ANSPDCP, primind număr şi dată, şi se repartizează compartimentului/compartimentelor de specialitate.</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(3)Plângerile se înaintează personal sau prin reprezentant, cu anexarea împuternicirii emise în condiţiile legii de un avocat sau a procurii notariale, după caz.</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(4)Plângerile pot fi depuse şi de către mandatarul persoanei vizate care este soţ sau rudă până la gradul al doilea inclusiv. În cazul soţilor sau rudelor până la gradul al doilea inclusiv, se anexează o declaraţie pe propria răspundere semnată de petiţionar, iar în cazul altor persoane, se anexează procura notarială.</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(5)În cazul în care plângerea este depusă prin intermediul unui organism, al unei organizaţii, al unei asociaţii sau fundaţii fără scop patrimonial, acestea trebuie să dovedească faptul că au fost constituite legal, cu un statut ce prevede obiective de interes public, şi că sunt active în domeniul protecţiei drepturilor şi libertăţilor persoanelor vizate în ceea ce priveşte protecţia datelor lor cu caracter personal. În acest caz, la plângere se anexează inclusiv împuternicirea avocaţială sau procura notarială de reprezentare, după caz, conform alin. (3), din care să rezulte limitele mandatului acordat de persoana vizată, precum şi statutul organismului/organizaţiei/asociaţiei/fundaţiei, precum şi dovezi privind activitatea acestora în domeniul protecţiei drepturilor şi libertăţilor persoanelor vizate în ceea ce priveşte protecţia datelor lor cu caracter personal.</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Art. 4</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(1)Pentru primirea şi înregistrarea valabilă a plângerilor este obligatorie furnizarea următoarelor date ale petiţionarului: nume, prenume, adresă poştală de domiciliu sau de reşedinţă. În cazul în care plângerea este depusă electronic este obligatorie furnizarea adresei de poştă electronică a petiţionarului.</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(2)În cazul plângerilor înaintate prin reprezentant, în afara datelor petiţionarului menţionate la alin. (1), este obligatorie şi furnizarea următoarelor date ale reprezentantului: nume şi prenume/denumire, adresă poştală de corespondenţă/sediu, adresă de poştă electronică, număr de telefon, număr de înregistrare în registrul asociaţiilor şi fundaţiilor, dacă este cazul.</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(3)Pentru primirea şi înregistrarea valabilă a plângerilor este obligatorie furnizarea datelor de identificare ale operatorului reclamat sau a persoanei împuternicite reclamate, precum nume şi prenume/denumire, adresă/sediu, sau cel puţin a informaţiilor disponibile deţinute de petiţionar, în vederea identificării acestora.</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(4)Plângerile trimise se semnează olograf sau electronic, iar în cazul petiţiilor trimise electronic care nu pot fi semnate, ANSPDCP poate solicita confirmarea corectitudinii datelor transmise electronic.</w:t>
      </w:r>
    </w:p>
    <w:p w:rsidR="004B5E40"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EB2767" w:rsidRDefault="00EB2767" w:rsidP="00EB2767">
      <w:pPr>
        <w:shd w:val="clear" w:color="auto" w:fill="FFFFFF"/>
        <w:spacing w:after="0" w:line="240" w:lineRule="auto"/>
        <w:jc w:val="both"/>
        <w:rPr>
          <w:rFonts w:ascii="Tahoma" w:eastAsia="Times New Roman" w:hAnsi="Tahoma" w:cs="Tahoma"/>
          <w:noProof/>
          <w:sz w:val="17"/>
          <w:szCs w:val="17"/>
          <w:lang w:val="ro-RO"/>
        </w:rPr>
      </w:pPr>
    </w:p>
    <w:p w:rsidR="00EB2767" w:rsidRPr="00EB2767" w:rsidRDefault="00EB2767"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lastRenderedPageBreak/>
        <w:t>Art. 5</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(1)La depunerea plângerilor este obligatorie precizarea detaliată a obiectului acestora, a demersurilor întreprinse de petiţionar la nivelul operatorului reclamat sau al persoanei împuternicite reclamate, după caz, a informaţiilor disponibile pentru susţinerea afirmaţiilor, precum şi anexarea de dovezi concludente, în măsura în care le deţine.</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(2)În cazul în care, anterior depunerii plângerii la ANSPDCP, petiţionarul a introdus pe rolul instanţelor judecătoreşti o acţiune cu acelaşi obiect şi cu acelaşi operator sau persoană împuternicită, aduce aceste aspecte la cunoştinţa ANSPDCP. În caz afirmativ, în plângere se menţionează denumirea instanţei şi numărul dosarului respectiv.</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Art. 6</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(1)În cazul plângerilor care au ca obiect încălcarea dreptului la viaţă intimă, familială şi privată în domeniul comunicaţiilor electronice şi comerţului electronic, în afara datelor prevăzute la art. 4, este obligatorie menţionarea numărului/numerelor de telefon sau fax, a adresei/adreselor de poştă electronică ori a adresei/adreselor de IP care au legătură cu obiectul plângerii, după caz.</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(2)În cazul plângerilor care au ca obiect încălcarea dreptului la viaţă intimă, familială şi privată prin transmiterea de comunicări comerciale nesolicitate, prin servicii de comunicaţii electronice destinate publicului, este obligatorie anexarea mesajelor originale primite de petiţionar printr-o metodă care să permită identificarea expeditorului respectivei comunicări, mesaje care trebuie conservate, pe cât posibil, în sistemul electronic utilizat de petiţionar.</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Art. 7</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(1)Petiţionarii şi, după caz, reprezentanţii acestora îşi asumă răspunderea că toate informaţiile furnizate prin depunerea plângerilor sunt reale şi corecte.</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(2)Petiţionarii pot solicita păstrarea confidenţialităţii anumitor date cu caracter personal, menţionate în mod expres, furnizate prin plângere, cu excepţia situaţiilor în care, pentru soluţionarea corespunzătoare a obiectului plângerilor depuse, datele de identificare ale petiţionarului trebuie să fie dezvăluite către entitatea reclamată.</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(3)Petiţionarii au posibilitatea de a utiliza modelele de plângere puse la dispoziţie de ANSPDCP.</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(4)Primirea plângerilor la ANSPDCP şi analizarea acestora este, de regulă, gratuită.</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(5)În cazul în care plângerile sunt în mod vădit nefondate sau excesive, în special din cauza caracterului lor repetitiv, ANSPDCP poate percepe o taxă rezonabilă, bazată pe costurile administrative, sau poate refuza să le trateze. Sarcina de a demonstra caracterul evident nefondat sau excesiv al cererii revine ANSPDCP.</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Art. 8</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(1)Fără a se aduce atingere posibilităţii de a se adresa cu plângere ANSPDCP, persoanele vizate au dreptul de a se adresa instanţei competente pentru apărarea drepturilor garantate de legislaţia aplicabilă, care le-au fost încălcate.</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(2)În cazul în care a fost introdusă o cerere în justiţie cu acelaşi obiect şi având aceleaşi părţi, ANSPDCP poate dispune suspendarea sau/şi clasarea plângerii, după caz.</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(3)Instanţa competentă este cea de la sediul operatorului sau al persoanei împuternicite de operator ori de la reşedinţa obişnuită a persoanei vizate. Cererea este scutită de taxă de timbru.</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CAPITOLUL III: Condiţii privind analizarea şi soluţionarea plângerilor</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Art. 9</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(1)În cazul în care petiţionarul nu furnizează datele, informaţiile şi documentele solicitate potrivit prevederilor legale aplicabile şi prezentei proceduri, ANSPDCP înştiinţează, în scris, petiţionarul asupra faptului că plângerea depusă nu îndeplineşte condiţiile prevăzute de prezenta procedură pentru a fi calificată ca o plângere admisibilă, în termen de cel mult 45 de zile de la înregistrare, potrivit legii.</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(2)În cazul în care se constată că informaţiile din plângere sau documentele transmise sunt incomplete sau insuficiente, ANSPDCP solicită persoanei vizate să completeze plângerea pentru a putea fi considerată admisibilă în vederea efectuării unei investigaţii. Un nou termen de cel mult 45 de zile curge de la data completării plângerii.</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(3)ANSPDCP informează persoana vizată în legătură cu evoluţia sau cu rezultatul investigaţiei întreprinse, în termen de trei luni de la data la care s-a comunicat acesteia că plângerea este admisibilă potrivit alin. (1) sau (2). Informarea va cuprinde şi calea de atac împotriva ANSPDCP.</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(4)Dacă este necesară efectuarea unei investigaţii mai amănunţite sau coordonarea cu alte autorităţi de supraveghere în conformitate cu art. 57 alin. (1) lit. f) din Regulamentul general privind protecţia datelor, ANSPDCP informează persoana vizată în legătură cu evoluţia investigaţiei, din trei în trei luni, până la finalizarea acesteia.</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(5)Rezultatul investigaţiei se aduce la cunoştinţa persoanei vizate în termen de cel mult 45 de zile de la finalizarea acesteia. Art. 11 din prezenta procedură se aplică în mod corespunzător.</w:t>
      </w:r>
    </w:p>
    <w:p w:rsidR="004B5E40"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EB2767" w:rsidRDefault="00EB2767" w:rsidP="00EB2767">
      <w:pPr>
        <w:shd w:val="clear" w:color="auto" w:fill="FFFFFF"/>
        <w:spacing w:after="0" w:line="240" w:lineRule="auto"/>
        <w:jc w:val="both"/>
        <w:rPr>
          <w:rFonts w:ascii="Tahoma" w:eastAsia="Times New Roman" w:hAnsi="Tahoma" w:cs="Tahoma"/>
          <w:noProof/>
          <w:sz w:val="17"/>
          <w:szCs w:val="17"/>
          <w:lang w:val="ro-RO"/>
        </w:rPr>
      </w:pPr>
    </w:p>
    <w:p w:rsidR="00EB2767" w:rsidRDefault="00EB2767" w:rsidP="00EB2767">
      <w:pPr>
        <w:shd w:val="clear" w:color="auto" w:fill="FFFFFF"/>
        <w:spacing w:after="0" w:line="240" w:lineRule="auto"/>
        <w:jc w:val="both"/>
        <w:rPr>
          <w:rFonts w:ascii="Tahoma" w:eastAsia="Times New Roman" w:hAnsi="Tahoma" w:cs="Tahoma"/>
          <w:noProof/>
          <w:sz w:val="17"/>
          <w:szCs w:val="17"/>
          <w:lang w:val="ro-RO"/>
        </w:rPr>
      </w:pPr>
    </w:p>
    <w:p w:rsidR="00EB2767" w:rsidRDefault="00EB2767" w:rsidP="00EB2767">
      <w:pPr>
        <w:shd w:val="clear" w:color="auto" w:fill="FFFFFF"/>
        <w:spacing w:after="0" w:line="240" w:lineRule="auto"/>
        <w:jc w:val="both"/>
        <w:rPr>
          <w:rFonts w:ascii="Tahoma" w:eastAsia="Times New Roman" w:hAnsi="Tahoma" w:cs="Tahoma"/>
          <w:noProof/>
          <w:sz w:val="17"/>
          <w:szCs w:val="17"/>
          <w:lang w:val="ro-RO"/>
        </w:rPr>
      </w:pPr>
    </w:p>
    <w:p w:rsidR="00EB2767" w:rsidRDefault="00EB2767" w:rsidP="00EB2767">
      <w:pPr>
        <w:shd w:val="clear" w:color="auto" w:fill="FFFFFF"/>
        <w:spacing w:after="0" w:line="240" w:lineRule="auto"/>
        <w:jc w:val="both"/>
        <w:rPr>
          <w:rFonts w:ascii="Tahoma" w:eastAsia="Times New Roman" w:hAnsi="Tahoma" w:cs="Tahoma"/>
          <w:noProof/>
          <w:sz w:val="17"/>
          <w:szCs w:val="17"/>
          <w:lang w:val="ro-RO"/>
        </w:rPr>
      </w:pPr>
    </w:p>
    <w:p w:rsidR="00EB2767" w:rsidRPr="00EB2767" w:rsidRDefault="00EB2767"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lastRenderedPageBreak/>
        <w:t>Art. 10</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(1)Plângerile în care nu se precizează datele de identificare ale petiţionarilor, obligatorii conform art. 4, sunt considerate anonime şi se clasează cu această menţiune, fără a se formula un răspuns petiţionarilor.</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(2)Plângerile care nu au un obiect clar determinat, precum şi plângerile care nu respectă condiţiile prevăzute de art. 3 se resping ca fiind inadmisibile. Petiţionarii sunt informaţi în scris cu privire la necesitatea respectării condiţiilor de admitere a plângerii, în termenul prevăzut la art. 9 alin. (1) sau (2).</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(3)În cazul în care plângerile se referă la aspecte care nu intră în sfera de competenţă materială sau teritorială a ANSPDCP, acestea se resping ca fiind inadmisibile. Petiţionarii sunt informaţi în scris, în termenul prevăzut la art. 9 alin. (1).</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Art. 11</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(1)În cazul în care un petiţionar adresează mai multe plângeri, pentru reclamarea aceleiaşi chestiuni, acestea se conexează, petiţionarul urmând să primească un singur răspuns care face referire la toate petiţiile primite.</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(2)În cazul în care petiţionarul revine cu o nouă plângere prin care reclamă aceleaşi aspecte semnalate într-o petiţie anterioară la care a primit răspuns, plângerea se anexează la prima petiţie şi se clasează, fără a se mai trimite un răspuns petiţionarului.</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Art. 12</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În cazul nerespectării de către ANSPDCP a dispoziţiilor art. 9, persoana vizată se poate adresa secţiei de contencios administrativ a tribunalului competent, după parcurgerea procedurii prealabile prevăzute de Legea contenciosului administrativ nr. 554/2004, cu modificările şi completările ulterioare. Recursul se judecă de curtea de apel competentă. În toate cazurile, instanţele competente sunt cele din România.</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Art. 13</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(1)În cazul în care, pentru soluţionarea plângerilor primite, devin incidente prevederile RGPD referitoare la mecanismele de cooperare şi coerenţă, se aplică în mod corespunzător dispoziţiile RGPD şi documentele emise de Comitetul European pentru Protecţia Datelor.</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(2)În cazurile prevăzute la alin. (1) este posibilă transmiterea datelor personale, a informaţiilor şi dovezilor prezentate de către petiţionar către alte autorităţi de supraveghere şi/sau către Comitetul European pentru Protecţia Datelor, în vederea soluţionării plângerii respective potrivit reglementărilor legale în vigoare.</w:t>
      </w: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Art. 14</w:t>
      </w:r>
      <w:bookmarkStart w:id="0" w:name="_GoBack"/>
      <w:bookmarkEnd w:id="0"/>
    </w:p>
    <w:p w:rsidR="004B5E40" w:rsidRPr="00EB2767" w:rsidRDefault="004B5E40" w:rsidP="00EB2767">
      <w:pPr>
        <w:shd w:val="clear" w:color="auto" w:fill="FFFFFF"/>
        <w:spacing w:after="0" w:line="240" w:lineRule="auto"/>
        <w:jc w:val="both"/>
        <w:rPr>
          <w:rFonts w:ascii="Tahoma" w:eastAsia="Times New Roman" w:hAnsi="Tahoma" w:cs="Tahoma"/>
          <w:noProof/>
          <w:sz w:val="17"/>
          <w:szCs w:val="17"/>
          <w:lang w:val="ro-RO"/>
        </w:rPr>
      </w:pPr>
      <w:r w:rsidRPr="00EB2767">
        <w:rPr>
          <w:rFonts w:ascii="Tahoma" w:eastAsia="Times New Roman" w:hAnsi="Tahoma" w:cs="Tahoma"/>
          <w:noProof/>
          <w:sz w:val="17"/>
          <w:szCs w:val="17"/>
          <w:lang w:val="ro-RO"/>
        </w:rPr>
        <w:t>Investigaţiile pentru soluţionarea plângerilor se desfăşoară în conformitate cu procedura de efectuare a investigaţiilor, aprobată prin decizie a preşedintelui ANSPDCP, care se publică în Monitorul Oficial al României, Partea I.</w:t>
      </w:r>
    </w:p>
    <w:p w:rsidR="00217DB2" w:rsidRPr="00EB2767" w:rsidRDefault="00217DB2" w:rsidP="00EB2767">
      <w:pPr>
        <w:shd w:val="clear" w:color="auto" w:fill="FFFFFF"/>
        <w:spacing w:after="0" w:line="240" w:lineRule="auto"/>
        <w:jc w:val="both"/>
        <w:rPr>
          <w:noProof/>
          <w:lang w:val="ro-RO"/>
        </w:rPr>
      </w:pPr>
    </w:p>
    <w:sectPr w:rsidR="00217DB2" w:rsidRPr="00EB2767" w:rsidSect="00167381">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7A4" w:rsidRDefault="00F577A4" w:rsidP="003A0356">
      <w:pPr>
        <w:spacing w:after="0" w:line="240" w:lineRule="auto"/>
      </w:pPr>
      <w:r>
        <w:separator/>
      </w:r>
    </w:p>
  </w:endnote>
  <w:endnote w:type="continuationSeparator" w:id="0">
    <w:p w:rsidR="00F577A4" w:rsidRDefault="00F577A4" w:rsidP="003A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12452"/>
      <w:docPartObj>
        <w:docPartGallery w:val="Page Numbers (Bottom of Page)"/>
        <w:docPartUnique/>
      </w:docPartObj>
    </w:sdtPr>
    <w:sdtEndPr/>
    <w:sdtContent>
      <w:p w:rsidR="003A0356" w:rsidRDefault="00C669D5">
        <w:pPr>
          <w:pStyle w:val="Footer"/>
          <w:jc w:val="center"/>
        </w:pPr>
        <w:r>
          <w:fldChar w:fldCharType="begin"/>
        </w:r>
        <w:r>
          <w:instrText xml:space="preserve"> PAGE   \* MERGEFORMAT </w:instrText>
        </w:r>
        <w:r>
          <w:fldChar w:fldCharType="separate"/>
        </w:r>
        <w:r w:rsidR="003A0356">
          <w:rPr>
            <w:noProof/>
          </w:rPr>
          <w:t>1</w:t>
        </w:r>
        <w:r>
          <w:rPr>
            <w:noProof/>
          </w:rPr>
          <w:fldChar w:fldCharType="end"/>
        </w:r>
      </w:p>
    </w:sdtContent>
  </w:sdt>
  <w:p w:rsidR="003A0356" w:rsidRDefault="003A0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7A4" w:rsidRDefault="00F577A4" w:rsidP="003A0356">
      <w:pPr>
        <w:spacing w:after="0" w:line="240" w:lineRule="auto"/>
      </w:pPr>
      <w:r>
        <w:separator/>
      </w:r>
    </w:p>
  </w:footnote>
  <w:footnote w:type="continuationSeparator" w:id="0">
    <w:p w:rsidR="00F577A4" w:rsidRDefault="00F577A4" w:rsidP="003A03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0356"/>
    <w:rsid w:val="00000C26"/>
    <w:rsid w:val="00000CE6"/>
    <w:rsid w:val="00000EE4"/>
    <w:rsid w:val="00002526"/>
    <w:rsid w:val="00003ACD"/>
    <w:rsid w:val="00003BBB"/>
    <w:rsid w:val="000079DD"/>
    <w:rsid w:val="00007D4D"/>
    <w:rsid w:val="00010443"/>
    <w:rsid w:val="0001097F"/>
    <w:rsid w:val="00014438"/>
    <w:rsid w:val="00014AB3"/>
    <w:rsid w:val="0001503B"/>
    <w:rsid w:val="00015455"/>
    <w:rsid w:val="00015658"/>
    <w:rsid w:val="0001727D"/>
    <w:rsid w:val="00025E3A"/>
    <w:rsid w:val="000269AB"/>
    <w:rsid w:val="00026F5D"/>
    <w:rsid w:val="00027005"/>
    <w:rsid w:val="00033675"/>
    <w:rsid w:val="00034B63"/>
    <w:rsid w:val="00035D09"/>
    <w:rsid w:val="0004106F"/>
    <w:rsid w:val="00041516"/>
    <w:rsid w:val="000429F4"/>
    <w:rsid w:val="00044904"/>
    <w:rsid w:val="00052C58"/>
    <w:rsid w:val="0005397A"/>
    <w:rsid w:val="00056430"/>
    <w:rsid w:val="000577D6"/>
    <w:rsid w:val="00061738"/>
    <w:rsid w:val="00066E27"/>
    <w:rsid w:val="0007068C"/>
    <w:rsid w:val="00071530"/>
    <w:rsid w:val="000715DB"/>
    <w:rsid w:val="000726E8"/>
    <w:rsid w:val="000770E9"/>
    <w:rsid w:val="00081A05"/>
    <w:rsid w:val="00084B27"/>
    <w:rsid w:val="0008743E"/>
    <w:rsid w:val="00094387"/>
    <w:rsid w:val="0009711D"/>
    <w:rsid w:val="00097651"/>
    <w:rsid w:val="000A4687"/>
    <w:rsid w:val="000A5B49"/>
    <w:rsid w:val="000A615D"/>
    <w:rsid w:val="000A70B4"/>
    <w:rsid w:val="000A7B6D"/>
    <w:rsid w:val="000B01B0"/>
    <w:rsid w:val="000B0416"/>
    <w:rsid w:val="000B0B52"/>
    <w:rsid w:val="000B0DE7"/>
    <w:rsid w:val="000B1DCF"/>
    <w:rsid w:val="000B2B99"/>
    <w:rsid w:val="000B419C"/>
    <w:rsid w:val="000B48E9"/>
    <w:rsid w:val="000B6031"/>
    <w:rsid w:val="000B64FA"/>
    <w:rsid w:val="000C2111"/>
    <w:rsid w:val="000C4B1B"/>
    <w:rsid w:val="000C4CD9"/>
    <w:rsid w:val="000C5409"/>
    <w:rsid w:val="000C68F6"/>
    <w:rsid w:val="000D0497"/>
    <w:rsid w:val="000D0805"/>
    <w:rsid w:val="000D25D4"/>
    <w:rsid w:val="000D2B66"/>
    <w:rsid w:val="000D3169"/>
    <w:rsid w:val="000E03E0"/>
    <w:rsid w:val="000E0B93"/>
    <w:rsid w:val="000E57EF"/>
    <w:rsid w:val="000E632F"/>
    <w:rsid w:val="000E6D78"/>
    <w:rsid w:val="000E71F5"/>
    <w:rsid w:val="000E72AE"/>
    <w:rsid w:val="000F0232"/>
    <w:rsid w:val="000F218B"/>
    <w:rsid w:val="000F410E"/>
    <w:rsid w:val="000F4CDF"/>
    <w:rsid w:val="001005B3"/>
    <w:rsid w:val="00102E3A"/>
    <w:rsid w:val="001052EE"/>
    <w:rsid w:val="00111248"/>
    <w:rsid w:val="001121EE"/>
    <w:rsid w:val="00112478"/>
    <w:rsid w:val="001127BC"/>
    <w:rsid w:val="001152E2"/>
    <w:rsid w:val="001159A7"/>
    <w:rsid w:val="001177A8"/>
    <w:rsid w:val="00117B6E"/>
    <w:rsid w:val="00117E2B"/>
    <w:rsid w:val="00120652"/>
    <w:rsid w:val="00124C73"/>
    <w:rsid w:val="001252EB"/>
    <w:rsid w:val="00125FF9"/>
    <w:rsid w:val="0013122A"/>
    <w:rsid w:val="001313C6"/>
    <w:rsid w:val="00132C61"/>
    <w:rsid w:val="00136BFC"/>
    <w:rsid w:val="0014231C"/>
    <w:rsid w:val="00161E43"/>
    <w:rsid w:val="00164F76"/>
    <w:rsid w:val="00167381"/>
    <w:rsid w:val="001679A2"/>
    <w:rsid w:val="00167A79"/>
    <w:rsid w:val="0017023F"/>
    <w:rsid w:val="001702B0"/>
    <w:rsid w:val="00171277"/>
    <w:rsid w:val="001728F1"/>
    <w:rsid w:val="00177764"/>
    <w:rsid w:val="001825F1"/>
    <w:rsid w:val="001829C7"/>
    <w:rsid w:val="00183A64"/>
    <w:rsid w:val="00187DB6"/>
    <w:rsid w:val="0019044C"/>
    <w:rsid w:val="00190D79"/>
    <w:rsid w:val="001927CA"/>
    <w:rsid w:val="00193162"/>
    <w:rsid w:val="001932FA"/>
    <w:rsid w:val="00196BCB"/>
    <w:rsid w:val="001A373C"/>
    <w:rsid w:val="001B184B"/>
    <w:rsid w:val="001B3E14"/>
    <w:rsid w:val="001B58F7"/>
    <w:rsid w:val="001B5B27"/>
    <w:rsid w:val="001B63CB"/>
    <w:rsid w:val="001C0E5B"/>
    <w:rsid w:val="001C2C50"/>
    <w:rsid w:val="001C5872"/>
    <w:rsid w:val="001C60D9"/>
    <w:rsid w:val="001C68AA"/>
    <w:rsid w:val="001C68BD"/>
    <w:rsid w:val="001D3E52"/>
    <w:rsid w:val="001D49EF"/>
    <w:rsid w:val="001D6329"/>
    <w:rsid w:val="001E0AC7"/>
    <w:rsid w:val="001E33B1"/>
    <w:rsid w:val="001E58F9"/>
    <w:rsid w:val="001F01C3"/>
    <w:rsid w:val="001F4235"/>
    <w:rsid w:val="001F4600"/>
    <w:rsid w:val="00202122"/>
    <w:rsid w:val="002055E2"/>
    <w:rsid w:val="00211440"/>
    <w:rsid w:val="002115BF"/>
    <w:rsid w:val="002115CD"/>
    <w:rsid w:val="002133BC"/>
    <w:rsid w:val="00213860"/>
    <w:rsid w:val="00217DB2"/>
    <w:rsid w:val="00223CB4"/>
    <w:rsid w:val="00225B9B"/>
    <w:rsid w:val="00231868"/>
    <w:rsid w:val="00234559"/>
    <w:rsid w:val="00237A65"/>
    <w:rsid w:val="00244F7D"/>
    <w:rsid w:val="00245E72"/>
    <w:rsid w:val="002460E5"/>
    <w:rsid w:val="00246EFB"/>
    <w:rsid w:val="0025089A"/>
    <w:rsid w:val="00254A4D"/>
    <w:rsid w:val="00256B29"/>
    <w:rsid w:val="00257BFC"/>
    <w:rsid w:val="00262310"/>
    <w:rsid w:val="00263FD7"/>
    <w:rsid w:val="0026509E"/>
    <w:rsid w:val="00275F70"/>
    <w:rsid w:val="002766CD"/>
    <w:rsid w:val="00277609"/>
    <w:rsid w:val="00282621"/>
    <w:rsid w:val="00284499"/>
    <w:rsid w:val="00292F0C"/>
    <w:rsid w:val="00293A06"/>
    <w:rsid w:val="00295EB8"/>
    <w:rsid w:val="002A0FF8"/>
    <w:rsid w:val="002A129A"/>
    <w:rsid w:val="002A24CE"/>
    <w:rsid w:val="002A4820"/>
    <w:rsid w:val="002A4CCE"/>
    <w:rsid w:val="002A5588"/>
    <w:rsid w:val="002B1138"/>
    <w:rsid w:val="002B2033"/>
    <w:rsid w:val="002B352E"/>
    <w:rsid w:val="002C1E15"/>
    <w:rsid w:val="002C20F8"/>
    <w:rsid w:val="002C7D6D"/>
    <w:rsid w:val="002D1112"/>
    <w:rsid w:val="002D654F"/>
    <w:rsid w:val="002D6DA8"/>
    <w:rsid w:val="002D6F02"/>
    <w:rsid w:val="002D7CE4"/>
    <w:rsid w:val="002E2CFE"/>
    <w:rsid w:val="002F2BD7"/>
    <w:rsid w:val="002F66C2"/>
    <w:rsid w:val="00302140"/>
    <w:rsid w:val="003036E7"/>
    <w:rsid w:val="0030640C"/>
    <w:rsid w:val="003101F6"/>
    <w:rsid w:val="00310EEC"/>
    <w:rsid w:val="00310F58"/>
    <w:rsid w:val="003128B1"/>
    <w:rsid w:val="00315BE4"/>
    <w:rsid w:val="00320E19"/>
    <w:rsid w:val="00320F96"/>
    <w:rsid w:val="00323D6C"/>
    <w:rsid w:val="003255B6"/>
    <w:rsid w:val="00327CA4"/>
    <w:rsid w:val="00332E2C"/>
    <w:rsid w:val="0033302D"/>
    <w:rsid w:val="0033573D"/>
    <w:rsid w:val="00336873"/>
    <w:rsid w:val="003418AA"/>
    <w:rsid w:val="00341964"/>
    <w:rsid w:val="00342AF8"/>
    <w:rsid w:val="003431BF"/>
    <w:rsid w:val="003446AE"/>
    <w:rsid w:val="00345275"/>
    <w:rsid w:val="00345692"/>
    <w:rsid w:val="003467F3"/>
    <w:rsid w:val="00347895"/>
    <w:rsid w:val="00347D9D"/>
    <w:rsid w:val="00351302"/>
    <w:rsid w:val="003521A7"/>
    <w:rsid w:val="00367414"/>
    <w:rsid w:val="00367958"/>
    <w:rsid w:val="00371146"/>
    <w:rsid w:val="003717AA"/>
    <w:rsid w:val="00372A01"/>
    <w:rsid w:val="00372ED1"/>
    <w:rsid w:val="00373572"/>
    <w:rsid w:val="003746B1"/>
    <w:rsid w:val="00374BE9"/>
    <w:rsid w:val="00376243"/>
    <w:rsid w:val="00377780"/>
    <w:rsid w:val="00377C60"/>
    <w:rsid w:val="00382451"/>
    <w:rsid w:val="00383541"/>
    <w:rsid w:val="00385266"/>
    <w:rsid w:val="00385DDD"/>
    <w:rsid w:val="00387F43"/>
    <w:rsid w:val="00394B8E"/>
    <w:rsid w:val="00396A65"/>
    <w:rsid w:val="00397BDF"/>
    <w:rsid w:val="003A0356"/>
    <w:rsid w:val="003A3072"/>
    <w:rsid w:val="003A391C"/>
    <w:rsid w:val="003A4D44"/>
    <w:rsid w:val="003A5CB5"/>
    <w:rsid w:val="003B2F6B"/>
    <w:rsid w:val="003C374D"/>
    <w:rsid w:val="003C436C"/>
    <w:rsid w:val="003C4AD3"/>
    <w:rsid w:val="003C50AB"/>
    <w:rsid w:val="003C7A3F"/>
    <w:rsid w:val="003D231F"/>
    <w:rsid w:val="003D6ED1"/>
    <w:rsid w:val="003E22F1"/>
    <w:rsid w:val="003E2488"/>
    <w:rsid w:val="003E4C6A"/>
    <w:rsid w:val="003E7B32"/>
    <w:rsid w:val="003F04FF"/>
    <w:rsid w:val="003F23FE"/>
    <w:rsid w:val="003F2E00"/>
    <w:rsid w:val="003F571C"/>
    <w:rsid w:val="003F7656"/>
    <w:rsid w:val="004005D3"/>
    <w:rsid w:val="00401A41"/>
    <w:rsid w:val="004029C8"/>
    <w:rsid w:val="00403CE0"/>
    <w:rsid w:val="004042B4"/>
    <w:rsid w:val="00404F92"/>
    <w:rsid w:val="0042360D"/>
    <w:rsid w:val="00423916"/>
    <w:rsid w:val="004250D0"/>
    <w:rsid w:val="004255BE"/>
    <w:rsid w:val="004277F3"/>
    <w:rsid w:val="00433C75"/>
    <w:rsid w:val="00434753"/>
    <w:rsid w:val="00434F89"/>
    <w:rsid w:val="004378D7"/>
    <w:rsid w:val="0044668F"/>
    <w:rsid w:val="00452AC3"/>
    <w:rsid w:val="004547B3"/>
    <w:rsid w:val="004550ED"/>
    <w:rsid w:val="00462C94"/>
    <w:rsid w:val="0046378B"/>
    <w:rsid w:val="0046508E"/>
    <w:rsid w:val="00472A96"/>
    <w:rsid w:val="00476B25"/>
    <w:rsid w:val="0048059D"/>
    <w:rsid w:val="0048272C"/>
    <w:rsid w:val="00482C22"/>
    <w:rsid w:val="004845CF"/>
    <w:rsid w:val="00485480"/>
    <w:rsid w:val="00487EF1"/>
    <w:rsid w:val="004906CD"/>
    <w:rsid w:val="00493B52"/>
    <w:rsid w:val="00494051"/>
    <w:rsid w:val="00495C48"/>
    <w:rsid w:val="00496814"/>
    <w:rsid w:val="004A0379"/>
    <w:rsid w:val="004A3DEB"/>
    <w:rsid w:val="004A6A88"/>
    <w:rsid w:val="004B5E40"/>
    <w:rsid w:val="004B7F8B"/>
    <w:rsid w:val="004C0FB7"/>
    <w:rsid w:val="004C229E"/>
    <w:rsid w:val="004C24F6"/>
    <w:rsid w:val="004C4025"/>
    <w:rsid w:val="004C500C"/>
    <w:rsid w:val="004C5711"/>
    <w:rsid w:val="004D175F"/>
    <w:rsid w:val="004D42E5"/>
    <w:rsid w:val="004D7132"/>
    <w:rsid w:val="004E1129"/>
    <w:rsid w:val="004E13F1"/>
    <w:rsid w:val="004E4102"/>
    <w:rsid w:val="004E4A0F"/>
    <w:rsid w:val="004E58C8"/>
    <w:rsid w:val="004E5C73"/>
    <w:rsid w:val="004F0528"/>
    <w:rsid w:val="004F18A2"/>
    <w:rsid w:val="004F3717"/>
    <w:rsid w:val="004F4D89"/>
    <w:rsid w:val="004F7175"/>
    <w:rsid w:val="00501F36"/>
    <w:rsid w:val="005024D0"/>
    <w:rsid w:val="0050276D"/>
    <w:rsid w:val="00514691"/>
    <w:rsid w:val="0051473A"/>
    <w:rsid w:val="00514F2B"/>
    <w:rsid w:val="00515D9C"/>
    <w:rsid w:val="00520B48"/>
    <w:rsid w:val="005218A7"/>
    <w:rsid w:val="005227F3"/>
    <w:rsid w:val="00523AB6"/>
    <w:rsid w:val="005242C9"/>
    <w:rsid w:val="00525910"/>
    <w:rsid w:val="00530F7E"/>
    <w:rsid w:val="005423E2"/>
    <w:rsid w:val="00543E66"/>
    <w:rsid w:val="005458DE"/>
    <w:rsid w:val="00546482"/>
    <w:rsid w:val="005466CD"/>
    <w:rsid w:val="00552DCD"/>
    <w:rsid w:val="005554EF"/>
    <w:rsid w:val="0055710F"/>
    <w:rsid w:val="00557145"/>
    <w:rsid w:val="0055743F"/>
    <w:rsid w:val="00560955"/>
    <w:rsid w:val="00563A1C"/>
    <w:rsid w:val="0056532C"/>
    <w:rsid w:val="00567C2A"/>
    <w:rsid w:val="005815F1"/>
    <w:rsid w:val="005821AF"/>
    <w:rsid w:val="00582915"/>
    <w:rsid w:val="00583D5E"/>
    <w:rsid w:val="00586C9D"/>
    <w:rsid w:val="005902B9"/>
    <w:rsid w:val="00591B01"/>
    <w:rsid w:val="00591DDA"/>
    <w:rsid w:val="00596A24"/>
    <w:rsid w:val="005A083A"/>
    <w:rsid w:val="005A1A16"/>
    <w:rsid w:val="005A21C4"/>
    <w:rsid w:val="005A2C5E"/>
    <w:rsid w:val="005A2C6F"/>
    <w:rsid w:val="005A2DF7"/>
    <w:rsid w:val="005B38EF"/>
    <w:rsid w:val="005B4EA6"/>
    <w:rsid w:val="005B6D5B"/>
    <w:rsid w:val="005C0F9B"/>
    <w:rsid w:val="005C224B"/>
    <w:rsid w:val="005C5945"/>
    <w:rsid w:val="005D0FAC"/>
    <w:rsid w:val="005D1BCA"/>
    <w:rsid w:val="005D363C"/>
    <w:rsid w:val="005D3EEA"/>
    <w:rsid w:val="005D50B8"/>
    <w:rsid w:val="005D5E14"/>
    <w:rsid w:val="005E5454"/>
    <w:rsid w:val="005F1561"/>
    <w:rsid w:val="005F59DF"/>
    <w:rsid w:val="00600135"/>
    <w:rsid w:val="00602CED"/>
    <w:rsid w:val="006076C7"/>
    <w:rsid w:val="0061780D"/>
    <w:rsid w:val="00620537"/>
    <w:rsid w:val="00621801"/>
    <w:rsid w:val="00622644"/>
    <w:rsid w:val="00622A25"/>
    <w:rsid w:val="00625C70"/>
    <w:rsid w:val="00635BC2"/>
    <w:rsid w:val="00635DFB"/>
    <w:rsid w:val="00635E05"/>
    <w:rsid w:val="00642E47"/>
    <w:rsid w:val="00643F29"/>
    <w:rsid w:val="00643FF2"/>
    <w:rsid w:val="006441DD"/>
    <w:rsid w:val="00647E67"/>
    <w:rsid w:val="006522D7"/>
    <w:rsid w:val="006545CE"/>
    <w:rsid w:val="006575E9"/>
    <w:rsid w:val="00661A85"/>
    <w:rsid w:val="0066313A"/>
    <w:rsid w:val="00664639"/>
    <w:rsid w:val="00674BEE"/>
    <w:rsid w:val="0069186B"/>
    <w:rsid w:val="006920FA"/>
    <w:rsid w:val="006927EF"/>
    <w:rsid w:val="0069302E"/>
    <w:rsid w:val="00693146"/>
    <w:rsid w:val="00697325"/>
    <w:rsid w:val="006A29A3"/>
    <w:rsid w:val="006A550F"/>
    <w:rsid w:val="006A5826"/>
    <w:rsid w:val="006A68B8"/>
    <w:rsid w:val="006B2CE7"/>
    <w:rsid w:val="006B5CD2"/>
    <w:rsid w:val="006B6B49"/>
    <w:rsid w:val="006B6EF4"/>
    <w:rsid w:val="006B7E3A"/>
    <w:rsid w:val="006C0622"/>
    <w:rsid w:val="006C18A7"/>
    <w:rsid w:val="006C2754"/>
    <w:rsid w:val="006C277A"/>
    <w:rsid w:val="006C3103"/>
    <w:rsid w:val="006C6B29"/>
    <w:rsid w:val="006C751F"/>
    <w:rsid w:val="006C7EFF"/>
    <w:rsid w:val="006D44FA"/>
    <w:rsid w:val="006D7A5C"/>
    <w:rsid w:val="006E2797"/>
    <w:rsid w:val="006E50E0"/>
    <w:rsid w:val="006E57A0"/>
    <w:rsid w:val="006F0181"/>
    <w:rsid w:val="006F10B0"/>
    <w:rsid w:val="006F7D6D"/>
    <w:rsid w:val="00700D39"/>
    <w:rsid w:val="00705432"/>
    <w:rsid w:val="007058FC"/>
    <w:rsid w:val="00710C7A"/>
    <w:rsid w:val="00710EE8"/>
    <w:rsid w:val="0071121E"/>
    <w:rsid w:val="00721166"/>
    <w:rsid w:val="00722793"/>
    <w:rsid w:val="00724EE9"/>
    <w:rsid w:val="00727C76"/>
    <w:rsid w:val="00732505"/>
    <w:rsid w:val="007332CC"/>
    <w:rsid w:val="00745110"/>
    <w:rsid w:val="00745645"/>
    <w:rsid w:val="0074569E"/>
    <w:rsid w:val="00746714"/>
    <w:rsid w:val="007474A9"/>
    <w:rsid w:val="00755B0C"/>
    <w:rsid w:val="007577DF"/>
    <w:rsid w:val="007650C8"/>
    <w:rsid w:val="007651EE"/>
    <w:rsid w:val="00765C82"/>
    <w:rsid w:val="00773DF9"/>
    <w:rsid w:val="0077762A"/>
    <w:rsid w:val="00785567"/>
    <w:rsid w:val="007859B7"/>
    <w:rsid w:val="00786DFE"/>
    <w:rsid w:val="00787AC1"/>
    <w:rsid w:val="00790882"/>
    <w:rsid w:val="007908DC"/>
    <w:rsid w:val="00792554"/>
    <w:rsid w:val="00794A0B"/>
    <w:rsid w:val="00794E36"/>
    <w:rsid w:val="007957C9"/>
    <w:rsid w:val="00796622"/>
    <w:rsid w:val="007A221D"/>
    <w:rsid w:val="007B1444"/>
    <w:rsid w:val="007C1691"/>
    <w:rsid w:val="007C325C"/>
    <w:rsid w:val="007C3625"/>
    <w:rsid w:val="007D06CA"/>
    <w:rsid w:val="007D5BCB"/>
    <w:rsid w:val="007D61B6"/>
    <w:rsid w:val="007D766B"/>
    <w:rsid w:val="007E05D4"/>
    <w:rsid w:val="007F0E85"/>
    <w:rsid w:val="007F4C8D"/>
    <w:rsid w:val="00806ADE"/>
    <w:rsid w:val="0081142D"/>
    <w:rsid w:val="00811634"/>
    <w:rsid w:val="00812C19"/>
    <w:rsid w:val="00813DCF"/>
    <w:rsid w:val="00816717"/>
    <w:rsid w:val="008167AC"/>
    <w:rsid w:val="00825B21"/>
    <w:rsid w:val="00830795"/>
    <w:rsid w:val="008313DC"/>
    <w:rsid w:val="00834FBE"/>
    <w:rsid w:val="00837708"/>
    <w:rsid w:val="00837D28"/>
    <w:rsid w:val="00847085"/>
    <w:rsid w:val="00847A8A"/>
    <w:rsid w:val="008535A1"/>
    <w:rsid w:val="008547D5"/>
    <w:rsid w:val="008551F2"/>
    <w:rsid w:val="00855941"/>
    <w:rsid w:val="00857A47"/>
    <w:rsid w:val="00860A00"/>
    <w:rsid w:val="00864E66"/>
    <w:rsid w:val="00870241"/>
    <w:rsid w:val="008704C4"/>
    <w:rsid w:val="00870FF7"/>
    <w:rsid w:val="0087223E"/>
    <w:rsid w:val="00873697"/>
    <w:rsid w:val="00874AD3"/>
    <w:rsid w:val="008768E6"/>
    <w:rsid w:val="00882AD6"/>
    <w:rsid w:val="00887B80"/>
    <w:rsid w:val="00887DA0"/>
    <w:rsid w:val="008925C6"/>
    <w:rsid w:val="00892E2D"/>
    <w:rsid w:val="008945EF"/>
    <w:rsid w:val="00896D13"/>
    <w:rsid w:val="008A021E"/>
    <w:rsid w:val="008A41E9"/>
    <w:rsid w:val="008A444C"/>
    <w:rsid w:val="008A4DC4"/>
    <w:rsid w:val="008A70D1"/>
    <w:rsid w:val="008B0333"/>
    <w:rsid w:val="008B525B"/>
    <w:rsid w:val="008B5B4C"/>
    <w:rsid w:val="008C029C"/>
    <w:rsid w:val="008C21E5"/>
    <w:rsid w:val="008C2E47"/>
    <w:rsid w:val="008C4565"/>
    <w:rsid w:val="008D658F"/>
    <w:rsid w:val="008E16B3"/>
    <w:rsid w:val="008E4037"/>
    <w:rsid w:val="008E4DE4"/>
    <w:rsid w:val="008E6220"/>
    <w:rsid w:val="008F21FA"/>
    <w:rsid w:val="008F7967"/>
    <w:rsid w:val="00905D4C"/>
    <w:rsid w:val="009069C2"/>
    <w:rsid w:val="0091048E"/>
    <w:rsid w:val="009150E3"/>
    <w:rsid w:val="00915361"/>
    <w:rsid w:val="00917C3C"/>
    <w:rsid w:val="009218BC"/>
    <w:rsid w:val="00921BB3"/>
    <w:rsid w:val="00925446"/>
    <w:rsid w:val="009262A5"/>
    <w:rsid w:val="00927D16"/>
    <w:rsid w:val="0093037F"/>
    <w:rsid w:val="009308E6"/>
    <w:rsid w:val="009335A9"/>
    <w:rsid w:val="00933A08"/>
    <w:rsid w:val="00934CDD"/>
    <w:rsid w:val="009365DB"/>
    <w:rsid w:val="0094074D"/>
    <w:rsid w:val="0094305E"/>
    <w:rsid w:val="00943EC3"/>
    <w:rsid w:val="009460D2"/>
    <w:rsid w:val="00952432"/>
    <w:rsid w:val="00952733"/>
    <w:rsid w:val="00956D94"/>
    <w:rsid w:val="00957B0C"/>
    <w:rsid w:val="0096012C"/>
    <w:rsid w:val="00960A49"/>
    <w:rsid w:val="00962EA1"/>
    <w:rsid w:val="009635B7"/>
    <w:rsid w:val="00964922"/>
    <w:rsid w:val="00964F1F"/>
    <w:rsid w:val="00981B0A"/>
    <w:rsid w:val="00983766"/>
    <w:rsid w:val="00983F6B"/>
    <w:rsid w:val="009859F5"/>
    <w:rsid w:val="00991289"/>
    <w:rsid w:val="00991CC6"/>
    <w:rsid w:val="00996124"/>
    <w:rsid w:val="0099671D"/>
    <w:rsid w:val="009B0E75"/>
    <w:rsid w:val="009B1B79"/>
    <w:rsid w:val="009B20E1"/>
    <w:rsid w:val="009B2F91"/>
    <w:rsid w:val="009B6F85"/>
    <w:rsid w:val="009B74A7"/>
    <w:rsid w:val="009C0273"/>
    <w:rsid w:val="009C0D7F"/>
    <w:rsid w:val="009C3115"/>
    <w:rsid w:val="009C5E9A"/>
    <w:rsid w:val="009D1D59"/>
    <w:rsid w:val="009D2848"/>
    <w:rsid w:val="009D317F"/>
    <w:rsid w:val="009D7232"/>
    <w:rsid w:val="009D7D04"/>
    <w:rsid w:val="009E0A5E"/>
    <w:rsid w:val="009E1175"/>
    <w:rsid w:val="009E1A34"/>
    <w:rsid w:val="009E1AEC"/>
    <w:rsid w:val="009E1D54"/>
    <w:rsid w:val="009E1E58"/>
    <w:rsid w:val="009E55DC"/>
    <w:rsid w:val="009E5923"/>
    <w:rsid w:val="009E5BAC"/>
    <w:rsid w:val="009F0C01"/>
    <w:rsid w:val="009F0EA5"/>
    <w:rsid w:val="009F25B9"/>
    <w:rsid w:val="009F2FFA"/>
    <w:rsid w:val="009F78D8"/>
    <w:rsid w:val="009F7AC1"/>
    <w:rsid w:val="009F7F05"/>
    <w:rsid w:val="00A01FC0"/>
    <w:rsid w:val="00A02A70"/>
    <w:rsid w:val="00A02FD8"/>
    <w:rsid w:val="00A14A27"/>
    <w:rsid w:val="00A169B6"/>
    <w:rsid w:val="00A16AE2"/>
    <w:rsid w:val="00A17F41"/>
    <w:rsid w:val="00A200A3"/>
    <w:rsid w:val="00A27A26"/>
    <w:rsid w:val="00A27AFE"/>
    <w:rsid w:val="00A35BBB"/>
    <w:rsid w:val="00A435B3"/>
    <w:rsid w:val="00A45100"/>
    <w:rsid w:val="00A53554"/>
    <w:rsid w:val="00A550A5"/>
    <w:rsid w:val="00A55D4E"/>
    <w:rsid w:val="00A57C5F"/>
    <w:rsid w:val="00A60C63"/>
    <w:rsid w:val="00A611B3"/>
    <w:rsid w:val="00A620B2"/>
    <w:rsid w:val="00A63729"/>
    <w:rsid w:val="00A6432E"/>
    <w:rsid w:val="00A648D0"/>
    <w:rsid w:val="00A67DFD"/>
    <w:rsid w:val="00A70ADD"/>
    <w:rsid w:val="00A73421"/>
    <w:rsid w:val="00A800CD"/>
    <w:rsid w:val="00A90811"/>
    <w:rsid w:val="00A9407A"/>
    <w:rsid w:val="00AA1E88"/>
    <w:rsid w:val="00AA4041"/>
    <w:rsid w:val="00AA60D9"/>
    <w:rsid w:val="00AA78AD"/>
    <w:rsid w:val="00AB1140"/>
    <w:rsid w:val="00AB56C4"/>
    <w:rsid w:val="00AB63EF"/>
    <w:rsid w:val="00AB75A4"/>
    <w:rsid w:val="00AB7E2D"/>
    <w:rsid w:val="00AC12ED"/>
    <w:rsid w:val="00AC5F69"/>
    <w:rsid w:val="00AC777C"/>
    <w:rsid w:val="00AD1096"/>
    <w:rsid w:val="00AD1898"/>
    <w:rsid w:val="00AD2A2B"/>
    <w:rsid w:val="00AE2C0E"/>
    <w:rsid w:val="00AE676D"/>
    <w:rsid w:val="00AE7686"/>
    <w:rsid w:val="00AF01D7"/>
    <w:rsid w:val="00AF0FE3"/>
    <w:rsid w:val="00AF3E1C"/>
    <w:rsid w:val="00AF3F01"/>
    <w:rsid w:val="00AF58DC"/>
    <w:rsid w:val="00AF5C7F"/>
    <w:rsid w:val="00B00E48"/>
    <w:rsid w:val="00B01249"/>
    <w:rsid w:val="00B03013"/>
    <w:rsid w:val="00B04183"/>
    <w:rsid w:val="00B05941"/>
    <w:rsid w:val="00B071F4"/>
    <w:rsid w:val="00B1125D"/>
    <w:rsid w:val="00B116AE"/>
    <w:rsid w:val="00B1272A"/>
    <w:rsid w:val="00B1485F"/>
    <w:rsid w:val="00B15A0C"/>
    <w:rsid w:val="00B20B35"/>
    <w:rsid w:val="00B20DE7"/>
    <w:rsid w:val="00B21246"/>
    <w:rsid w:val="00B21B00"/>
    <w:rsid w:val="00B22091"/>
    <w:rsid w:val="00B2297D"/>
    <w:rsid w:val="00B22DF0"/>
    <w:rsid w:val="00B26741"/>
    <w:rsid w:val="00B324B9"/>
    <w:rsid w:val="00B325F8"/>
    <w:rsid w:val="00B3670B"/>
    <w:rsid w:val="00B40108"/>
    <w:rsid w:val="00B4117A"/>
    <w:rsid w:val="00B41CDA"/>
    <w:rsid w:val="00B43F58"/>
    <w:rsid w:val="00B45C1E"/>
    <w:rsid w:val="00B47858"/>
    <w:rsid w:val="00B47F1C"/>
    <w:rsid w:val="00B501FC"/>
    <w:rsid w:val="00B51DD1"/>
    <w:rsid w:val="00B521BC"/>
    <w:rsid w:val="00B527E9"/>
    <w:rsid w:val="00B53F2D"/>
    <w:rsid w:val="00B55C7C"/>
    <w:rsid w:val="00B6075F"/>
    <w:rsid w:val="00B60CFE"/>
    <w:rsid w:val="00B60F34"/>
    <w:rsid w:val="00B61CBE"/>
    <w:rsid w:val="00B64080"/>
    <w:rsid w:val="00B67EBE"/>
    <w:rsid w:val="00B70F72"/>
    <w:rsid w:val="00B72C57"/>
    <w:rsid w:val="00B74E3D"/>
    <w:rsid w:val="00B761BA"/>
    <w:rsid w:val="00B76818"/>
    <w:rsid w:val="00B76F65"/>
    <w:rsid w:val="00B77614"/>
    <w:rsid w:val="00B807D5"/>
    <w:rsid w:val="00B81C39"/>
    <w:rsid w:val="00B850A1"/>
    <w:rsid w:val="00B85686"/>
    <w:rsid w:val="00B8693B"/>
    <w:rsid w:val="00B909A0"/>
    <w:rsid w:val="00B91265"/>
    <w:rsid w:val="00B91BF3"/>
    <w:rsid w:val="00B95E10"/>
    <w:rsid w:val="00B965C1"/>
    <w:rsid w:val="00BA0175"/>
    <w:rsid w:val="00BA65CF"/>
    <w:rsid w:val="00BB1711"/>
    <w:rsid w:val="00BB5EC8"/>
    <w:rsid w:val="00BB5F91"/>
    <w:rsid w:val="00BB637F"/>
    <w:rsid w:val="00BC3D24"/>
    <w:rsid w:val="00BC5BF8"/>
    <w:rsid w:val="00BD0AC5"/>
    <w:rsid w:val="00BD11F6"/>
    <w:rsid w:val="00BD21ED"/>
    <w:rsid w:val="00BD6223"/>
    <w:rsid w:val="00BE0086"/>
    <w:rsid w:val="00BE1B24"/>
    <w:rsid w:val="00BE2994"/>
    <w:rsid w:val="00BE44CC"/>
    <w:rsid w:val="00BF3142"/>
    <w:rsid w:val="00BF5F6B"/>
    <w:rsid w:val="00BF6493"/>
    <w:rsid w:val="00BF7F2D"/>
    <w:rsid w:val="00C0166C"/>
    <w:rsid w:val="00C03433"/>
    <w:rsid w:val="00C03C1D"/>
    <w:rsid w:val="00C20CB9"/>
    <w:rsid w:val="00C23FF7"/>
    <w:rsid w:val="00C240F5"/>
    <w:rsid w:val="00C30376"/>
    <w:rsid w:val="00C4257F"/>
    <w:rsid w:val="00C442BD"/>
    <w:rsid w:val="00C46755"/>
    <w:rsid w:val="00C50480"/>
    <w:rsid w:val="00C52190"/>
    <w:rsid w:val="00C606DD"/>
    <w:rsid w:val="00C6334B"/>
    <w:rsid w:val="00C65566"/>
    <w:rsid w:val="00C657C4"/>
    <w:rsid w:val="00C669D5"/>
    <w:rsid w:val="00C71ED7"/>
    <w:rsid w:val="00C725ED"/>
    <w:rsid w:val="00C73844"/>
    <w:rsid w:val="00C7606C"/>
    <w:rsid w:val="00C76E2C"/>
    <w:rsid w:val="00C76E75"/>
    <w:rsid w:val="00C83A61"/>
    <w:rsid w:val="00C8776E"/>
    <w:rsid w:val="00C87BF4"/>
    <w:rsid w:val="00C902F4"/>
    <w:rsid w:val="00C9676A"/>
    <w:rsid w:val="00CA2631"/>
    <w:rsid w:val="00CA2B2F"/>
    <w:rsid w:val="00CA708D"/>
    <w:rsid w:val="00CA76BE"/>
    <w:rsid w:val="00CB0088"/>
    <w:rsid w:val="00CB2886"/>
    <w:rsid w:val="00CB360C"/>
    <w:rsid w:val="00CC5014"/>
    <w:rsid w:val="00CC62D3"/>
    <w:rsid w:val="00CD0B06"/>
    <w:rsid w:val="00CD37E0"/>
    <w:rsid w:val="00CD4598"/>
    <w:rsid w:val="00CD5BB5"/>
    <w:rsid w:val="00CD5BEA"/>
    <w:rsid w:val="00CD5CE3"/>
    <w:rsid w:val="00CD79B2"/>
    <w:rsid w:val="00CE05CC"/>
    <w:rsid w:val="00CE0CBC"/>
    <w:rsid w:val="00CE1E63"/>
    <w:rsid w:val="00CE2462"/>
    <w:rsid w:val="00CE3940"/>
    <w:rsid w:val="00CE4C45"/>
    <w:rsid w:val="00CE583D"/>
    <w:rsid w:val="00CE7539"/>
    <w:rsid w:val="00CF122B"/>
    <w:rsid w:val="00CF3376"/>
    <w:rsid w:val="00CF5F43"/>
    <w:rsid w:val="00CF7599"/>
    <w:rsid w:val="00CF7DA7"/>
    <w:rsid w:val="00D04919"/>
    <w:rsid w:val="00D05A62"/>
    <w:rsid w:val="00D10C92"/>
    <w:rsid w:val="00D1781F"/>
    <w:rsid w:val="00D21136"/>
    <w:rsid w:val="00D22054"/>
    <w:rsid w:val="00D2288F"/>
    <w:rsid w:val="00D23E56"/>
    <w:rsid w:val="00D24256"/>
    <w:rsid w:val="00D24C2B"/>
    <w:rsid w:val="00D265E8"/>
    <w:rsid w:val="00D26CF7"/>
    <w:rsid w:val="00D2795E"/>
    <w:rsid w:val="00D33341"/>
    <w:rsid w:val="00D338E2"/>
    <w:rsid w:val="00D4028D"/>
    <w:rsid w:val="00D408F4"/>
    <w:rsid w:val="00D44A6B"/>
    <w:rsid w:val="00D52133"/>
    <w:rsid w:val="00D52535"/>
    <w:rsid w:val="00D54490"/>
    <w:rsid w:val="00D56422"/>
    <w:rsid w:val="00D602CC"/>
    <w:rsid w:val="00D61A07"/>
    <w:rsid w:val="00D63ABA"/>
    <w:rsid w:val="00D64D9F"/>
    <w:rsid w:val="00D67A55"/>
    <w:rsid w:val="00D67CB4"/>
    <w:rsid w:val="00D72BE6"/>
    <w:rsid w:val="00D74F9F"/>
    <w:rsid w:val="00D76B91"/>
    <w:rsid w:val="00D77E41"/>
    <w:rsid w:val="00D81949"/>
    <w:rsid w:val="00D8293B"/>
    <w:rsid w:val="00D838EC"/>
    <w:rsid w:val="00D85A26"/>
    <w:rsid w:val="00D87FF0"/>
    <w:rsid w:val="00D90D7E"/>
    <w:rsid w:val="00D919ED"/>
    <w:rsid w:val="00DB0255"/>
    <w:rsid w:val="00DB1E8C"/>
    <w:rsid w:val="00DB4659"/>
    <w:rsid w:val="00DB66E2"/>
    <w:rsid w:val="00DB68A1"/>
    <w:rsid w:val="00DB77A5"/>
    <w:rsid w:val="00DC0162"/>
    <w:rsid w:val="00DC10CB"/>
    <w:rsid w:val="00DC2F09"/>
    <w:rsid w:val="00DC56CB"/>
    <w:rsid w:val="00DC56E8"/>
    <w:rsid w:val="00DD190C"/>
    <w:rsid w:val="00DD44CA"/>
    <w:rsid w:val="00DD44D7"/>
    <w:rsid w:val="00DE0FC6"/>
    <w:rsid w:val="00DE1A5C"/>
    <w:rsid w:val="00DE2C07"/>
    <w:rsid w:val="00DE319B"/>
    <w:rsid w:val="00DE3981"/>
    <w:rsid w:val="00DE74F6"/>
    <w:rsid w:val="00DE7ACB"/>
    <w:rsid w:val="00DE7F03"/>
    <w:rsid w:val="00E019B2"/>
    <w:rsid w:val="00E04719"/>
    <w:rsid w:val="00E06ADA"/>
    <w:rsid w:val="00E114C8"/>
    <w:rsid w:val="00E16E03"/>
    <w:rsid w:val="00E21428"/>
    <w:rsid w:val="00E21B1B"/>
    <w:rsid w:val="00E21FCB"/>
    <w:rsid w:val="00E2282B"/>
    <w:rsid w:val="00E23ED7"/>
    <w:rsid w:val="00E25DA6"/>
    <w:rsid w:val="00E311E2"/>
    <w:rsid w:val="00E32404"/>
    <w:rsid w:val="00E34B26"/>
    <w:rsid w:val="00E36733"/>
    <w:rsid w:val="00E405DB"/>
    <w:rsid w:val="00E41D6E"/>
    <w:rsid w:val="00E425F2"/>
    <w:rsid w:val="00E44157"/>
    <w:rsid w:val="00E51BCE"/>
    <w:rsid w:val="00E51CE2"/>
    <w:rsid w:val="00E529F3"/>
    <w:rsid w:val="00E54D06"/>
    <w:rsid w:val="00E56766"/>
    <w:rsid w:val="00E57B2A"/>
    <w:rsid w:val="00E644ED"/>
    <w:rsid w:val="00E7065C"/>
    <w:rsid w:val="00E801F8"/>
    <w:rsid w:val="00E80AE9"/>
    <w:rsid w:val="00E823AA"/>
    <w:rsid w:val="00E85BBA"/>
    <w:rsid w:val="00E86927"/>
    <w:rsid w:val="00E87C99"/>
    <w:rsid w:val="00E87CE6"/>
    <w:rsid w:val="00E913F6"/>
    <w:rsid w:val="00E94A6C"/>
    <w:rsid w:val="00E9622B"/>
    <w:rsid w:val="00E97295"/>
    <w:rsid w:val="00E979DF"/>
    <w:rsid w:val="00EA07EF"/>
    <w:rsid w:val="00EA1990"/>
    <w:rsid w:val="00EA3548"/>
    <w:rsid w:val="00EA3D66"/>
    <w:rsid w:val="00EA4E76"/>
    <w:rsid w:val="00EB2767"/>
    <w:rsid w:val="00EB2866"/>
    <w:rsid w:val="00EB63FF"/>
    <w:rsid w:val="00EB7105"/>
    <w:rsid w:val="00EC0881"/>
    <w:rsid w:val="00EC38D2"/>
    <w:rsid w:val="00EC6161"/>
    <w:rsid w:val="00EE09FB"/>
    <w:rsid w:val="00EE289F"/>
    <w:rsid w:val="00EE3D45"/>
    <w:rsid w:val="00EE42DD"/>
    <w:rsid w:val="00EE4937"/>
    <w:rsid w:val="00EE6089"/>
    <w:rsid w:val="00EE6938"/>
    <w:rsid w:val="00EF0D31"/>
    <w:rsid w:val="00EF245C"/>
    <w:rsid w:val="00EF5DD5"/>
    <w:rsid w:val="00F00EE7"/>
    <w:rsid w:val="00F05265"/>
    <w:rsid w:val="00F072B2"/>
    <w:rsid w:val="00F07A4E"/>
    <w:rsid w:val="00F10A02"/>
    <w:rsid w:val="00F12444"/>
    <w:rsid w:val="00F144C3"/>
    <w:rsid w:val="00F16254"/>
    <w:rsid w:val="00F17946"/>
    <w:rsid w:val="00F202CC"/>
    <w:rsid w:val="00F23424"/>
    <w:rsid w:val="00F41506"/>
    <w:rsid w:val="00F43632"/>
    <w:rsid w:val="00F448C8"/>
    <w:rsid w:val="00F4519A"/>
    <w:rsid w:val="00F5009C"/>
    <w:rsid w:val="00F51382"/>
    <w:rsid w:val="00F52E57"/>
    <w:rsid w:val="00F5442A"/>
    <w:rsid w:val="00F55443"/>
    <w:rsid w:val="00F5657A"/>
    <w:rsid w:val="00F577A4"/>
    <w:rsid w:val="00F57D9F"/>
    <w:rsid w:val="00F6367C"/>
    <w:rsid w:val="00F64967"/>
    <w:rsid w:val="00F66CED"/>
    <w:rsid w:val="00F72978"/>
    <w:rsid w:val="00F74CA5"/>
    <w:rsid w:val="00F81041"/>
    <w:rsid w:val="00F81F52"/>
    <w:rsid w:val="00F83CFA"/>
    <w:rsid w:val="00F85D00"/>
    <w:rsid w:val="00F87440"/>
    <w:rsid w:val="00F90CE7"/>
    <w:rsid w:val="00F9336F"/>
    <w:rsid w:val="00F963B3"/>
    <w:rsid w:val="00FA113F"/>
    <w:rsid w:val="00FA2138"/>
    <w:rsid w:val="00FA77A9"/>
    <w:rsid w:val="00FB0546"/>
    <w:rsid w:val="00FB0D91"/>
    <w:rsid w:val="00FB10D8"/>
    <w:rsid w:val="00FB58CF"/>
    <w:rsid w:val="00FB797E"/>
    <w:rsid w:val="00FC0ED0"/>
    <w:rsid w:val="00FC5AC0"/>
    <w:rsid w:val="00FC7069"/>
    <w:rsid w:val="00FD2CCD"/>
    <w:rsid w:val="00FE234C"/>
    <w:rsid w:val="00FE2FAE"/>
    <w:rsid w:val="00FE47FF"/>
    <w:rsid w:val="00FF2044"/>
    <w:rsid w:val="00FF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C109"/>
  <w15:docId w15:val="{7EFEA85B-D05F-474C-BF85-5F3E7F8F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7381"/>
  </w:style>
  <w:style w:type="paragraph" w:styleId="Heading1">
    <w:name w:val="heading 1"/>
    <w:basedOn w:val="Normal"/>
    <w:link w:val="Heading1Char"/>
    <w:uiPriority w:val="9"/>
    <w:qFormat/>
    <w:rsid w:val="003A03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3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A03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0356"/>
    <w:rPr>
      <w:color w:val="0000FF"/>
      <w:u w:val="single"/>
    </w:rPr>
  </w:style>
  <w:style w:type="paragraph" w:styleId="Header">
    <w:name w:val="header"/>
    <w:basedOn w:val="Normal"/>
    <w:link w:val="HeaderChar"/>
    <w:uiPriority w:val="99"/>
    <w:semiHidden/>
    <w:unhideWhenUsed/>
    <w:rsid w:val="003A03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0356"/>
  </w:style>
  <w:style w:type="paragraph" w:styleId="Footer">
    <w:name w:val="footer"/>
    <w:basedOn w:val="Normal"/>
    <w:link w:val="FooterChar"/>
    <w:uiPriority w:val="99"/>
    <w:unhideWhenUsed/>
    <w:rsid w:val="003A0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1906</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ExtremConsult</cp:lastModifiedBy>
  <cp:revision>4</cp:revision>
  <dcterms:created xsi:type="dcterms:W3CDTF">2018-06-07T20:39:00Z</dcterms:created>
  <dcterms:modified xsi:type="dcterms:W3CDTF">2019-10-29T08:15:00Z</dcterms:modified>
</cp:coreProperties>
</file>